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7D7" w:rsidRDefault="00C837D7" w:rsidP="00C837D7">
      <w:pPr>
        <w:spacing w:after="0" w:line="480" w:lineRule="auto"/>
        <w:contextualSpacing/>
        <w:jc w:val="center"/>
      </w:pPr>
      <w:bookmarkStart w:id="0" w:name="_GoBack"/>
      <w:bookmarkEnd w:id="0"/>
    </w:p>
    <w:p w:rsidR="00C837D7" w:rsidRDefault="00C837D7" w:rsidP="00C837D7">
      <w:pPr>
        <w:spacing w:after="0" w:line="480" w:lineRule="auto"/>
        <w:contextualSpacing/>
        <w:jc w:val="center"/>
      </w:pPr>
    </w:p>
    <w:p w:rsidR="00C837D7" w:rsidRDefault="00C837D7" w:rsidP="00C837D7">
      <w:pPr>
        <w:spacing w:after="0" w:line="480" w:lineRule="auto"/>
        <w:contextualSpacing/>
        <w:jc w:val="center"/>
      </w:pPr>
    </w:p>
    <w:p w:rsidR="00C837D7" w:rsidRDefault="00C837D7" w:rsidP="00C837D7">
      <w:pPr>
        <w:spacing w:after="0" w:line="480" w:lineRule="auto"/>
        <w:contextualSpacing/>
        <w:jc w:val="center"/>
      </w:pPr>
    </w:p>
    <w:p w:rsidR="00C837D7" w:rsidRDefault="00C837D7" w:rsidP="00C837D7">
      <w:pPr>
        <w:spacing w:after="0" w:line="480" w:lineRule="auto"/>
        <w:contextualSpacing/>
        <w:jc w:val="center"/>
      </w:pPr>
    </w:p>
    <w:p w:rsidR="00C837D7" w:rsidRDefault="00C837D7" w:rsidP="00C837D7">
      <w:pPr>
        <w:spacing w:after="0" w:line="480" w:lineRule="auto"/>
        <w:contextualSpacing/>
        <w:jc w:val="center"/>
      </w:pPr>
    </w:p>
    <w:p w:rsidR="00B63362" w:rsidRDefault="00A7291E" w:rsidP="00C837D7">
      <w:pPr>
        <w:spacing w:after="0" w:line="480" w:lineRule="auto"/>
        <w:contextualSpacing/>
        <w:jc w:val="center"/>
      </w:pPr>
      <w:r>
        <w:t>Certification level</w:t>
      </w:r>
    </w:p>
    <w:p w:rsidR="00C837D7" w:rsidRDefault="00A7291E" w:rsidP="00C837D7">
      <w:pPr>
        <w:spacing w:after="0" w:line="480" w:lineRule="auto"/>
        <w:contextualSpacing/>
        <w:jc w:val="center"/>
      </w:pPr>
      <w:r>
        <w:t>Student Name</w:t>
      </w:r>
    </w:p>
    <w:p w:rsidR="00C837D7" w:rsidRDefault="00A7291E" w:rsidP="00C837D7">
      <w:pPr>
        <w:spacing w:after="0" w:line="480" w:lineRule="auto"/>
        <w:contextualSpacing/>
        <w:jc w:val="center"/>
      </w:pPr>
      <w:r>
        <w:t>Institution Affiliation</w:t>
      </w:r>
    </w:p>
    <w:p w:rsidR="00C837D7" w:rsidRDefault="00A7291E" w:rsidP="00C837D7">
      <w:pPr>
        <w:spacing w:after="0" w:line="480" w:lineRule="auto"/>
        <w:contextualSpacing/>
        <w:jc w:val="left"/>
      </w:pPr>
      <w:r>
        <w:br w:type="page"/>
      </w:r>
    </w:p>
    <w:p w:rsidR="00C837D7" w:rsidRDefault="00A7291E" w:rsidP="00C837D7">
      <w:pPr>
        <w:spacing w:after="0" w:line="480" w:lineRule="auto"/>
        <w:contextualSpacing/>
        <w:jc w:val="center"/>
      </w:pPr>
      <w:r w:rsidRPr="00C837D7">
        <w:lastRenderedPageBreak/>
        <w:t>Certification level</w:t>
      </w:r>
    </w:p>
    <w:p w:rsidR="0034016D" w:rsidRDefault="00A7291E" w:rsidP="00C837D7">
      <w:pPr>
        <w:spacing w:after="0" w:line="480" w:lineRule="auto"/>
        <w:ind w:firstLine="720"/>
        <w:contextualSpacing/>
      </w:pPr>
      <w:r>
        <w:t xml:space="preserve">The certification level I got curious about is that of TACF being proud to be living wage certified. The thing that interested </w:t>
      </w:r>
      <w:r w:rsidR="00412240">
        <w:t>me</w:t>
      </w:r>
      <w:r>
        <w:t xml:space="preserve"> most </w:t>
      </w:r>
      <w:proofErr w:type="gramStart"/>
      <w:r>
        <w:t>ion</w:t>
      </w:r>
      <w:proofErr w:type="gramEnd"/>
      <w:r>
        <w:t xml:space="preserve"> this </w:t>
      </w:r>
      <w:r w:rsidR="00412240">
        <w:t>certification</w:t>
      </w:r>
      <w:r>
        <w:t xml:space="preserve"> level is that although TACF is </w:t>
      </w:r>
      <w:r w:rsidR="00412240">
        <w:t>a nonprofit foundation</w:t>
      </w:r>
      <w:r>
        <w:t xml:space="preserve">, it is a living wage employer certified. TACF remains to be one of the over 400 certified employers in the </w:t>
      </w:r>
      <w:r w:rsidR="00412240">
        <w:t>Asheville region</w:t>
      </w:r>
      <w:r w:rsidR="00C837D7">
        <w:t xml:space="preserve"> (</w:t>
      </w:r>
      <w:r w:rsidR="00C837D7" w:rsidRPr="00C837D7">
        <w:t>TACF is Proud to be Living Wage Certified | The Ame</w:t>
      </w:r>
      <w:r w:rsidR="00C837D7">
        <w:t>rican Chestnut Foundation, 2018)</w:t>
      </w:r>
      <w:r w:rsidR="00412240">
        <w:t>. TACF takes</w:t>
      </w:r>
      <w:r>
        <w:t xml:space="preserve"> into account the </w:t>
      </w:r>
      <w:r w:rsidR="00412240">
        <w:t>minimum</w:t>
      </w:r>
      <w:r>
        <w:t xml:space="preserve"> wage rate </w:t>
      </w:r>
      <w:r w:rsidR="00412240">
        <w:t>that</w:t>
      </w:r>
      <w:r>
        <w:t xml:space="preserve"> is set and </w:t>
      </w:r>
      <w:r w:rsidR="00412240">
        <w:t>precisely</w:t>
      </w:r>
      <w:r>
        <w:t xml:space="preserve"> makes </w:t>
      </w:r>
      <w:r w:rsidR="00412240">
        <w:t>provision</w:t>
      </w:r>
      <w:r>
        <w:t xml:space="preserve"> of </w:t>
      </w:r>
      <w:r w:rsidR="00412240">
        <w:t>health</w:t>
      </w:r>
      <w:r>
        <w:t xml:space="preserve"> insurance to </w:t>
      </w:r>
      <w:proofErr w:type="gramStart"/>
      <w:r>
        <w:t>all its</w:t>
      </w:r>
      <w:proofErr w:type="gramEnd"/>
      <w:r>
        <w:t xml:space="preserve"> staff. </w:t>
      </w:r>
    </w:p>
    <w:p w:rsidR="00412240" w:rsidRDefault="00A7291E" w:rsidP="00C837D7">
      <w:pPr>
        <w:spacing w:after="0" w:line="480" w:lineRule="auto"/>
        <w:ind w:firstLine="720"/>
        <w:contextualSpacing/>
      </w:pPr>
      <w:r>
        <w:t>The certifications are a genuine testament that TACF values all its employees irrespective of their employment positions</w:t>
      </w:r>
      <w:r>
        <w:t xml:space="preserve"> with the entire foundation. Precisely, a living wage is that amount of wage that an employee must earn to be able to afford the basic life necessities more comfortably even without any form of private or public assistance.</w:t>
      </w:r>
    </w:p>
    <w:p w:rsidR="00412240" w:rsidRDefault="00A7291E" w:rsidP="00C837D7">
      <w:pPr>
        <w:spacing w:after="0" w:line="480" w:lineRule="auto"/>
        <w:ind w:firstLine="720"/>
        <w:contextualSpacing/>
      </w:pPr>
      <w:r>
        <w:t>Paying a living wage is somethin</w:t>
      </w:r>
      <w:r>
        <w:t>g that all organizations should emulate from TACF. Previous researches have depicted that workers quality of service, morale as well as healthy is significantly improved when thru employer pays a living wage. Additionally, payment of living wage by the emp</w:t>
      </w:r>
      <w:r>
        <w:t>loyers also is considered to contribute to lowering training and recruiting costs, turnover rates, and absenteeism. All employees who are paid living wage usually live a more comfortable life than those who are not period. Often, an individual becomes more</w:t>
      </w:r>
      <w:r>
        <w:t xml:space="preserve"> self-sufficient and completely do not or less relies on social services when paid living wage</w:t>
      </w:r>
      <w:r w:rsidR="00C837D7">
        <w:t xml:space="preserve"> </w:t>
      </w:r>
      <w:r w:rsidR="00C837D7" w:rsidRPr="00C837D7">
        <w:t>(TACF is Proud to be Living Wage Certified | The American Chestnut Foundation, 2018)</w:t>
      </w:r>
      <w:r>
        <w:t xml:space="preserve">. </w:t>
      </w:r>
    </w:p>
    <w:p w:rsidR="00C837D7" w:rsidRDefault="00A7291E" w:rsidP="00C837D7">
      <w:pPr>
        <w:spacing w:after="0" w:line="480" w:lineRule="auto"/>
        <w:ind w:firstLine="720"/>
        <w:contextualSpacing/>
      </w:pPr>
      <w:r>
        <w:t>In the long-run, payments of a living wage are associated with stimulating</w:t>
      </w:r>
      <w:r>
        <w:t xml:space="preserve"> the economy. For instance, employees who are paid living wage usually increased their consumption spending hence increasing the money multiplier which stimulates the economy significantly. With a sustainable economy, the organizations and foundations such</w:t>
      </w:r>
      <w:r>
        <w:t xml:space="preserve"> as TACF would prevail well.</w:t>
      </w:r>
    </w:p>
    <w:p w:rsidR="00C837D7" w:rsidRDefault="00A7291E" w:rsidP="00C837D7">
      <w:pPr>
        <w:spacing w:after="0" w:line="480" w:lineRule="auto"/>
        <w:contextualSpacing/>
        <w:jc w:val="center"/>
      </w:pPr>
      <w:r>
        <w:t>Reference</w:t>
      </w:r>
    </w:p>
    <w:p w:rsidR="00C837D7" w:rsidRDefault="00A7291E" w:rsidP="00C837D7">
      <w:pPr>
        <w:pStyle w:val="cpformat"/>
        <w:spacing w:before="0" w:beforeAutospacing="0" w:after="0" w:afterAutospacing="0" w:line="480" w:lineRule="auto"/>
        <w:ind w:left="720" w:right="75" w:hanging="720"/>
        <w:contextualSpacing/>
      </w:pPr>
      <w:r>
        <w:t xml:space="preserve">TACF is Proud to be Living Wage Certified | The American Chestnut Foundation. (2018, January 16). Retrieved from </w:t>
      </w:r>
      <w:hyperlink r:id="rId7" w:history="1">
        <w:r w:rsidRPr="001A045B">
          <w:rPr>
            <w:rStyle w:val="Hyperlink"/>
          </w:rPr>
          <w:t>https:</w:t>
        </w:r>
        <w:r w:rsidRPr="001A045B">
          <w:rPr>
            <w:rStyle w:val="Hyperlink"/>
          </w:rPr>
          <w:t>//www.acf.org/our-community/news/tacf-is-proud-to-be-living-wage-certified/</w:t>
        </w:r>
      </w:hyperlink>
      <w:r>
        <w:t xml:space="preserve"> </w:t>
      </w:r>
    </w:p>
    <w:p w:rsidR="00C837D7" w:rsidRDefault="00C837D7" w:rsidP="00C837D7">
      <w:pPr>
        <w:spacing w:after="0" w:line="480" w:lineRule="auto"/>
        <w:contextualSpacing/>
      </w:pPr>
    </w:p>
    <w:sectPr w:rsidR="00C837D7" w:rsidSect="00C837D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91E" w:rsidRDefault="00A7291E">
      <w:pPr>
        <w:spacing w:after="0" w:line="240" w:lineRule="auto"/>
      </w:pPr>
      <w:r>
        <w:separator/>
      </w:r>
    </w:p>
  </w:endnote>
  <w:endnote w:type="continuationSeparator" w:id="0">
    <w:p w:rsidR="00A7291E" w:rsidRDefault="00A7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91E" w:rsidRDefault="00A7291E">
      <w:pPr>
        <w:spacing w:after="0" w:line="240" w:lineRule="auto"/>
      </w:pPr>
      <w:r>
        <w:separator/>
      </w:r>
    </w:p>
  </w:footnote>
  <w:footnote w:type="continuationSeparator" w:id="0">
    <w:p w:rsidR="00A7291E" w:rsidRDefault="00A729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88078"/>
      <w:docPartObj>
        <w:docPartGallery w:val="Page Numbers (Top of Page)"/>
        <w:docPartUnique/>
      </w:docPartObj>
    </w:sdtPr>
    <w:sdtEndPr>
      <w:rPr>
        <w:noProof/>
      </w:rPr>
    </w:sdtEndPr>
    <w:sdtContent>
      <w:p w:rsidR="00C837D7" w:rsidRDefault="00A7291E">
        <w:pPr>
          <w:pStyle w:val="Header"/>
          <w:jc w:val="right"/>
        </w:pPr>
        <w:r>
          <w:fldChar w:fldCharType="begin"/>
        </w:r>
        <w:r>
          <w:instrText xml:space="preserve"> PAGE   \* MERGEFORMAT </w:instrText>
        </w:r>
        <w:r>
          <w:fldChar w:fldCharType="separate"/>
        </w:r>
        <w:r w:rsidR="00FF7A6A">
          <w:rPr>
            <w:noProof/>
          </w:rPr>
          <w:t>3</w:t>
        </w:r>
        <w:r>
          <w:rPr>
            <w:noProof/>
          </w:rPr>
          <w:fldChar w:fldCharType="end"/>
        </w:r>
      </w:p>
    </w:sdtContent>
  </w:sdt>
  <w:p w:rsidR="00C837D7" w:rsidRDefault="00A7291E">
    <w:pPr>
      <w:pStyle w:val="Header"/>
    </w:pPr>
    <w:r w:rsidRPr="00C837D7">
      <w:t>CERTIFICATION LEVEL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7D7" w:rsidRDefault="00A7291E">
    <w:pPr>
      <w:pStyle w:val="Header"/>
    </w:pPr>
    <w:r>
      <w:t>Running head: CERTIFICATION LEVEL</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16D"/>
    <w:rsid w:val="001A045B"/>
    <w:rsid w:val="0034016D"/>
    <w:rsid w:val="00412240"/>
    <w:rsid w:val="0042299C"/>
    <w:rsid w:val="00922D97"/>
    <w:rsid w:val="00A7291E"/>
    <w:rsid w:val="00B63362"/>
    <w:rsid w:val="00C837D7"/>
    <w:rsid w:val="00FF7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837D7"/>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C837D7"/>
    <w:rPr>
      <w:color w:val="0563C1" w:themeColor="hyperlink"/>
      <w:u w:val="single"/>
    </w:rPr>
  </w:style>
  <w:style w:type="paragraph" w:styleId="Header">
    <w:name w:val="header"/>
    <w:basedOn w:val="Normal"/>
    <w:link w:val="HeaderChar"/>
    <w:uiPriority w:val="99"/>
    <w:unhideWhenUsed/>
    <w:rsid w:val="00C83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D7"/>
    <w:rPr>
      <w:rFonts w:ascii="Times New Roman" w:hAnsi="Times New Roman"/>
      <w:sz w:val="24"/>
    </w:rPr>
  </w:style>
  <w:style w:type="paragraph" w:styleId="Footer">
    <w:name w:val="footer"/>
    <w:basedOn w:val="Normal"/>
    <w:link w:val="FooterChar"/>
    <w:uiPriority w:val="99"/>
    <w:unhideWhenUsed/>
    <w:rsid w:val="00C83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D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837D7"/>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C837D7"/>
    <w:rPr>
      <w:color w:val="0563C1" w:themeColor="hyperlink"/>
      <w:u w:val="single"/>
    </w:rPr>
  </w:style>
  <w:style w:type="paragraph" w:styleId="Header">
    <w:name w:val="header"/>
    <w:basedOn w:val="Normal"/>
    <w:link w:val="HeaderChar"/>
    <w:uiPriority w:val="99"/>
    <w:unhideWhenUsed/>
    <w:rsid w:val="00C83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7D7"/>
    <w:rPr>
      <w:rFonts w:ascii="Times New Roman" w:hAnsi="Times New Roman"/>
      <w:sz w:val="24"/>
    </w:rPr>
  </w:style>
  <w:style w:type="paragraph" w:styleId="Footer">
    <w:name w:val="footer"/>
    <w:basedOn w:val="Normal"/>
    <w:link w:val="FooterChar"/>
    <w:uiPriority w:val="99"/>
    <w:unhideWhenUsed/>
    <w:rsid w:val="00C83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7D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f.org/our-community/news/tacf-is-proud-to-be-living-wage-certifie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2019-02-04T03:06:00Z</dcterms:created>
  <dcterms:modified xsi:type="dcterms:W3CDTF">2019-02-04T03:06:00Z</dcterms:modified>
</cp:coreProperties>
</file>